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9AE" w:rsidRDefault="007079AE" w:rsidP="00444AEF">
      <w:pPr>
        <w:jc w:val="center"/>
        <w:rPr>
          <w:b/>
          <w:noProof/>
        </w:rPr>
      </w:pPr>
      <w:bookmarkStart w:id="0" w:name="_GoBack"/>
      <w:bookmarkEnd w:id="0"/>
    </w:p>
    <w:p w:rsidR="00FC40E1" w:rsidRPr="00775863" w:rsidRDefault="00FC40E1" w:rsidP="00775863">
      <w:pPr>
        <w:jc w:val="center"/>
        <w:rPr>
          <w:sz w:val="32"/>
          <w:szCs w:val="32"/>
        </w:rPr>
      </w:pPr>
      <w:r w:rsidRPr="00775863">
        <w:rPr>
          <w:b/>
          <w:bCs/>
          <w:color w:val="000000"/>
          <w:sz w:val="32"/>
          <w:szCs w:val="32"/>
        </w:rPr>
        <w:t xml:space="preserve">A PARTIR DEL </w:t>
      </w:r>
      <w:r w:rsidRPr="00775863">
        <w:rPr>
          <w:b/>
          <w:bCs/>
          <w:color w:val="0070C0"/>
          <w:sz w:val="32"/>
          <w:szCs w:val="32"/>
        </w:rPr>
        <w:t xml:space="preserve">23 DE MAYO </w:t>
      </w:r>
      <w:r w:rsidRPr="00775863">
        <w:rPr>
          <w:b/>
          <w:bCs/>
          <w:color w:val="000000"/>
          <w:sz w:val="32"/>
          <w:szCs w:val="32"/>
        </w:rPr>
        <w:t>SE PUEDE POSTULAR AL CORRIMIENTO DE LISTA DE ESPERA PARA PESQUERÍA DE JIBIA O CALAMAR ROJO CON POTERA</w:t>
      </w:r>
    </w:p>
    <w:p w:rsidR="00FC40E1" w:rsidRDefault="00FC40E1" w:rsidP="00FC40E1">
      <w:pPr>
        <w:jc w:val="both"/>
      </w:pPr>
      <w:r>
        <w:rPr>
          <w:color w:val="000000"/>
          <w:sz w:val="24"/>
          <w:szCs w:val="24"/>
        </w:rPr>
        <w:t> </w:t>
      </w:r>
      <w:r w:rsidRPr="00775863">
        <w:rPr>
          <w:b/>
          <w:i/>
          <w:sz w:val="24"/>
          <w:szCs w:val="24"/>
        </w:rPr>
        <w:t>SERNAPESCA</w:t>
      </w:r>
      <w:r>
        <w:rPr>
          <w:sz w:val="24"/>
          <w:szCs w:val="24"/>
        </w:rPr>
        <w:t xml:space="preserve"> informa que a partir del </w:t>
      </w:r>
      <w:r w:rsidRPr="00FC40E1">
        <w:rPr>
          <w:b/>
          <w:color w:val="0070C0"/>
          <w:sz w:val="28"/>
          <w:szCs w:val="28"/>
        </w:rPr>
        <w:t>23 de mayo</w:t>
      </w:r>
      <w:r w:rsidRPr="00FC40E1">
        <w:rPr>
          <w:color w:val="0070C0"/>
          <w:sz w:val="24"/>
          <w:szCs w:val="24"/>
        </w:rPr>
        <w:t xml:space="preserve"> </w:t>
      </w:r>
      <w:r>
        <w:rPr>
          <w:sz w:val="24"/>
          <w:szCs w:val="24"/>
        </w:rPr>
        <w:t xml:space="preserve">los armadores y armadoras artesanales con inscripción vigente en LISTA DE ESPERA para la pesquería jibia o calamar rojo del Registro Pesquero Artesanal (RPA), podrán postular a una de las </w:t>
      </w:r>
      <w:r w:rsidRPr="00FC40E1">
        <w:rPr>
          <w:b/>
          <w:color w:val="0070C0"/>
          <w:sz w:val="32"/>
          <w:szCs w:val="32"/>
        </w:rPr>
        <w:t>874</w:t>
      </w:r>
      <w:r>
        <w:rPr>
          <w:sz w:val="24"/>
          <w:szCs w:val="24"/>
        </w:rPr>
        <w:t xml:space="preserve"> vacantes abiertas por la Subsecretaría de Pesca y Acuicultura, SUBPESCA.</w:t>
      </w:r>
    </w:p>
    <w:p w:rsidR="00FC40E1" w:rsidRDefault="00FC40E1" w:rsidP="00FC40E1">
      <w:pPr>
        <w:jc w:val="both"/>
      </w:pPr>
      <w:r>
        <w:rPr>
          <w:sz w:val="24"/>
          <w:szCs w:val="24"/>
        </w:rPr>
        <w:t> </w:t>
      </w:r>
    </w:p>
    <w:p w:rsidR="00FC40E1" w:rsidRDefault="00FC40E1" w:rsidP="00FC40E1">
      <w:pPr>
        <w:jc w:val="both"/>
      </w:pPr>
      <w:r>
        <w:rPr>
          <w:sz w:val="24"/>
          <w:szCs w:val="24"/>
        </w:rPr>
        <w:t xml:space="preserve">Los interesados deberán presentarse en las oficinas de SERNAPESCA y llenar el formulario “Solicitud de Uso de Vacante”, a contar del </w:t>
      </w:r>
      <w:r w:rsidRPr="00FC40E1">
        <w:rPr>
          <w:b/>
          <w:color w:val="0070C0"/>
          <w:sz w:val="28"/>
          <w:szCs w:val="28"/>
        </w:rPr>
        <w:t>23 de mayo</w:t>
      </w:r>
      <w:r>
        <w:rPr>
          <w:color w:val="FF0000"/>
          <w:sz w:val="24"/>
          <w:szCs w:val="24"/>
        </w:rPr>
        <w:t xml:space="preserve"> </w:t>
      </w:r>
      <w:r>
        <w:rPr>
          <w:sz w:val="24"/>
          <w:szCs w:val="24"/>
        </w:rPr>
        <w:t xml:space="preserve">y hasta el </w:t>
      </w:r>
      <w:r w:rsidRPr="00FC40E1">
        <w:rPr>
          <w:b/>
          <w:color w:val="0070C0"/>
          <w:sz w:val="28"/>
          <w:szCs w:val="28"/>
        </w:rPr>
        <w:t>05 de junio de 2018.</w:t>
      </w:r>
      <w:r>
        <w:rPr>
          <w:sz w:val="24"/>
          <w:szCs w:val="24"/>
        </w:rPr>
        <w:t xml:space="preserve"> </w:t>
      </w:r>
    </w:p>
    <w:p w:rsidR="00FC40E1" w:rsidRDefault="00FC40E1" w:rsidP="00FC40E1">
      <w:pPr>
        <w:jc w:val="both"/>
      </w:pPr>
      <w:r>
        <w:rPr>
          <w:sz w:val="24"/>
          <w:szCs w:val="24"/>
        </w:rPr>
        <w:t> </w:t>
      </w:r>
    </w:p>
    <w:p w:rsidR="00FC40E1" w:rsidRDefault="00FC40E1" w:rsidP="00FC40E1">
      <w:pPr>
        <w:jc w:val="both"/>
      </w:pPr>
      <w:r>
        <w:rPr>
          <w:sz w:val="24"/>
          <w:szCs w:val="24"/>
        </w:rPr>
        <w:t>Las pescadoras y pescadores deben cumplir con los siguientes requisitos:</w:t>
      </w:r>
    </w:p>
    <w:p w:rsidR="00FC40E1" w:rsidRDefault="00FC40E1" w:rsidP="00775863">
      <w:pPr>
        <w:ind w:left="142"/>
        <w:jc w:val="both"/>
      </w:pPr>
      <w:r>
        <w:rPr>
          <w:sz w:val="24"/>
          <w:szCs w:val="24"/>
        </w:rPr>
        <w:t> </w:t>
      </w:r>
      <w:r>
        <w:rPr>
          <w:rFonts w:ascii="Wingdings" w:hAnsi="Wingdings"/>
          <w:sz w:val="24"/>
          <w:szCs w:val="24"/>
        </w:rPr>
        <w:t></w:t>
      </w:r>
      <w:r>
        <w:rPr>
          <w:rFonts w:ascii="Times New Roman" w:hAnsi="Times New Roman"/>
          <w:sz w:val="14"/>
          <w:szCs w:val="14"/>
        </w:rPr>
        <w:t xml:space="preserve">  </w:t>
      </w:r>
      <w:r w:rsidRPr="00FC40E1">
        <w:rPr>
          <w:b/>
          <w:sz w:val="24"/>
          <w:szCs w:val="24"/>
        </w:rPr>
        <w:t>Estar Inscrito en el RPA</w:t>
      </w:r>
      <w:r>
        <w:rPr>
          <w:sz w:val="24"/>
          <w:szCs w:val="24"/>
        </w:rPr>
        <w:t xml:space="preserve"> en la región correspondiente.</w:t>
      </w:r>
    </w:p>
    <w:p w:rsidR="00FC40E1" w:rsidRDefault="00FC40E1" w:rsidP="00775863">
      <w:pPr>
        <w:pStyle w:val="Prrafodelista"/>
        <w:ind w:left="142"/>
        <w:jc w:val="both"/>
      </w:pPr>
      <w:r w:rsidRPr="00D46B0B">
        <w:rPr>
          <w:rFonts w:ascii="Wingdings" w:hAnsi="Wingdings"/>
          <w:sz w:val="24"/>
          <w:szCs w:val="24"/>
          <w:highlight w:val="yellow"/>
        </w:rPr>
        <w:t></w:t>
      </w:r>
      <w:r w:rsidRPr="00D46B0B">
        <w:rPr>
          <w:rFonts w:ascii="Times New Roman" w:hAnsi="Times New Roman"/>
          <w:sz w:val="14"/>
          <w:szCs w:val="14"/>
          <w:highlight w:val="yellow"/>
        </w:rPr>
        <w:t xml:space="preserve">  </w:t>
      </w:r>
      <w:r w:rsidRPr="00D46B0B">
        <w:rPr>
          <w:b/>
          <w:sz w:val="24"/>
          <w:szCs w:val="24"/>
          <w:highlight w:val="yellow"/>
        </w:rPr>
        <w:t>Tener la pesquería de la Jibia con Potera en Lista de Espera</w:t>
      </w:r>
      <w:r w:rsidR="00244AE5">
        <w:rPr>
          <w:b/>
          <w:sz w:val="24"/>
          <w:szCs w:val="24"/>
          <w:highlight w:val="yellow"/>
        </w:rPr>
        <w:t xml:space="preserve"> (</w:t>
      </w:r>
      <w:hyperlink r:id="rId7" w:history="1">
        <w:r w:rsidR="00244AE5" w:rsidRPr="00244AE5">
          <w:rPr>
            <w:rStyle w:val="Hipervnculo"/>
            <w:b/>
            <w:sz w:val="24"/>
            <w:szCs w:val="24"/>
          </w:rPr>
          <w:t>http://ww2.sernapesca.cl/index.php?option=com_remository&amp;Itemid=246&amp;func=select&amp;id=1370)</w:t>
        </w:r>
        <w:r w:rsidRPr="00244AE5">
          <w:rPr>
            <w:rStyle w:val="Hipervnculo"/>
            <w:sz w:val="24"/>
            <w:szCs w:val="24"/>
            <w:highlight w:val="yellow"/>
          </w:rPr>
          <w:t>.</w:t>
        </w:r>
      </w:hyperlink>
    </w:p>
    <w:p w:rsidR="00FC40E1" w:rsidRDefault="00FC40E1" w:rsidP="00775863">
      <w:pPr>
        <w:pStyle w:val="Prrafodelista"/>
        <w:ind w:left="142"/>
        <w:jc w:val="both"/>
      </w:pPr>
      <w:r>
        <w:rPr>
          <w:rFonts w:ascii="Wingdings" w:hAnsi="Wingdings"/>
          <w:sz w:val="24"/>
          <w:szCs w:val="24"/>
        </w:rPr>
        <w:t></w:t>
      </w:r>
      <w:r>
        <w:rPr>
          <w:rFonts w:ascii="Times New Roman" w:hAnsi="Times New Roman"/>
          <w:sz w:val="14"/>
          <w:szCs w:val="14"/>
        </w:rPr>
        <w:t xml:space="preserve">  </w:t>
      </w:r>
      <w:r w:rsidRPr="00FC40E1">
        <w:rPr>
          <w:b/>
          <w:sz w:val="24"/>
          <w:szCs w:val="24"/>
        </w:rPr>
        <w:t>Cumplir con la habitualidad</w:t>
      </w:r>
      <w:r>
        <w:rPr>
          <w:sz w:val="24"/>
          <w:szCs w:val="24"/>
        </w:rPr>
        <w:t xml:space="preserve"> presentando certificado de zarpe y recalada de los años </w:t>
      </w:r>
      <w:r w:rsidRPr="00FC40E1">
        <w:rPr>
          <w:b/>
          <w:sz w:val="24"/>
          <w:szCs w:val="24"/>
        </w:rPr>
        <w:t>2014, 2015, 2016 y 2017</w:t>
      </w:r>
      <w:r>
        <w:rPr>
          <w:sz w:val="24"/>
          <w:szCs w:val="24"/>
        </w:rPr>
        <w:t xml:space="preserve"> y/o presentar certificado de habitualidad de Sernapesca.</w:t>
      </w:r>
    </w:p>
    <w:p w:rsidR="00FC40E1" w:rsidRDefault="00FC40E1" w:rsidP="00775863">
      <w:pPr>
        <w:pStyle w:val="Prrafodelista"/>
        <w:ind w:left="142"/>
        <w:jc w:val="both"/>
      </w:pPr>
      <w:r>
        <w:rPr>
          <w:rFonts w:ascii="Wingdings" w:hAnsi="Wingdings"/>
          <w:sz w:val="24"/>
          <w:szCs w:val="24"/>
        </w:rPr>
        <w:t></w:t>
      </w:r>
      <w:r>
        <w:rPr>
          <w:rFonts w:ascii="Times New Roman" w:hAnsi="Times New Roman"/>
          <w:sz w:val="14"/>
          <w:szCs w:val="14"/>
        </w:rPr>
        <w:t xml:space="preserve">  </w:t>
      </w:r>
      <w:r w:rsidRPr="00FC40E1">
        <w:rPr>
          <w:b/>
          <w:sz w:val="24"/>
          <w:szCs w:val="24"/>
        </w:rPr>
        <w:t>Certificar que su embarcación dispone del aparejo de pesca potera</w:t>
      </w:r>
      <w:r>
        <w:rPr>
          <w:b/>
          <w:sz w:val="24"/>
          <w:szCs w:val="24"/>
        </w:rPr>
        <w:t xml:space="preserve"> (certificación la hace Autoridad Marítima y Sernapesca, haciendo una revisión en terreno)</w:t>
      </w:r>
      <w:r>
        <w:rPr>
          <w:sz w:val="24"/>
          <w:szCs w:val="24"/>
        </w:rPr>
        <w:t>.</w:t>
      </w:r>
    </w:p>
    <w:p w:rsidR="00FC40E1" w:rsidRDefault="00FC40E1" w:rsidP="00FC40E1">
      <w:pPr>
        <w:jc w:val="both"/>
      </w:pPr>
      <w:r>
        <w:rPr>
          <w:sz w:val="24"/>
          <w:szCs w:val="24"/>
        </w:rPr>
        <w:t> </w:t>
      </w:r>
    </w:p>
    <w:p w:rsidR="00FC40E1" w:rsidRDefault="00FC40E1" w:rsidP="00FC40E1">
      <w:pPr>
        <w:jc w:val="both"/>
        <w:rPr>
          <w:b/>
          <w:color w:val="FF0000"/>
          <w:sz w:val="24"/>
          <w:szCs w:val="24"/>
        </w:rPr>
      </w:pPr>
    </w:p>
    <w:p w:rsidR="00FC40E1" w:rsidRPr="00FC40E1" w:rsidRDefault="00FC40E1" w:rsidP="00FC40E1">
      <w:pPr>
        <w:jc w:val="both"/>
        <w:rPr>
          <w:b/>
        </w:rPr>
      </w:pPr>
      <w:r>
        <w:rPr>
          <w:noProof/>
        </w:rPr>
        <w:drawing>
          <wp:anchor distT="0" distB="0" distL="114300" distR="114300" simplePos="0" relativeHeight="251658240" behindDoc="1" locked="0" layoutInCell="1" allowOverlap="1">
            <wp:simplePos x="0" y="0"/>
            <wp:positionH relativeFrom="column">
              <wp:posOffset>-3810</wp:posOffset>
            </wp:positionH>
            <wp:positionV relativeFrom="paragraph">
              <wp:posOffset>-4445</wp:posOffset>
            </wp:positionV>
            <wp:extent cx="1608667" cy="904875"/>
            <wp:effectExtent l="0" t="0" r="0" b="0"/>
            <wp:wrapTight wrapText="bothSides">
              <wp:wrapPolygon edited="0">
                <wp:start x="0" y="0"/>
                <wp:lineTo x="0" y="20918"/>
                <wp:lineTo x="21233" y="20918"/>
                <wp:lineTo x="21233" y="0"/>
                <wp:lineTo x="0" y="0"/>
              </wp:wrapPolygon>
            </wp:wrapTight>
            <wp:docPr id="2" name="Imagen 2" descr="Imagen de noti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de notic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8667"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40E1">
        <w:rPr>
          <w:b/>
          <w:color w:val="FF0000"/>
          <w:sz w:val="24"/>
          <w:szCs w:val="24"/>
        </w:rPr>
        <w:t>Es importante señalar que si Uds. no se presenta en la oficina de Sernapesca para postular al corrimiento de lista de espera de la Jibia con potera, perderá la opción de su vacante en la lista de espera.</w:t>
      </w:r>
    </w:p>
    <w:p w:rsidR="00FC40E1" w:rsidRDefault="00FC40E1" w:rsidP="00FC40E1">
      <w:pPr>
        <w:jc w:val="both"/>
      </w:pPr>
      <w:r>
        <w:rPr>
          <w:color w:val="1F497D"/>
          <w:sz w:val="32"/>
          <w:szCs w:val="32"/>
        </w:rPr>
        <w:t> </w:t>
      </w:r>
    </w:p>
    <w:p w:rsidR="00FC40E1" w:rsidRDefault="00FC40E1" w:rsidP="00FC40E1">
      <w:pPr>
        <w:jc w:val="both"/>
        <w:rPr>
          <w:sz w:val="24"/>
          <w:szCs w:val="24"/>
        </w:rPr>
      </w:pPr>
    </w:p>
    <w:p w:rsidR="00FC40E1" w:rsidRDefault="00FC40E1" w:rsidP="00FC40E1">
      <w:pPr>
        <w:jc w:val="both"/>
      </w:pPr>
      <w:r>
        <w:rPr>
          <w:sz w:val="24"/>
          <w:szCs w:val="24"/>
        </w:rPr>
        <w:t>El formulario “Solicitud de Uso de Vacante” y los Listados de Espera de la pesquería Jibia, se encuentran disponibles en las oficinas de Sernapesca y en nuestro sitio web (</w:t>
      </w:r>
      <w:hyperlink r:id="rId9" w:history="1">
        <w:r w:rsidRPr="003E2E1B">
          <w:rPr>
            <w:rStyle w:val="Hipervnculo"/>
            <w:sz w:val="24"/>
            <w:szCs w:val="24"/>
          </w:rPr>
          <w:t>www.sernapesca.cl</w:t>
        </w:r>
      </w:hyperlink>
      <w:r>
        <w:rPr>
          <w:sz w:val="24"/>
          <w:szCs w:val="24"/>
        </w:rPr>
        <w:t xml:space="preserve">) </w:t>
      </w:r>
    </w:p>
    <w:p w:rsidR="00FC40E1" w:rsidRDefault="00FC40E1" w:rsidP="00FC40E1">
      <w:r>
        <w:rPr>
          <w:b/>
          <w:bCs/>
          <w:color w:val="000000"/>
          <w:sz w:val="28"/>
          <w:szCs w:val="28"/>
        </w:rPr>
        <w:t> </w:t>
      </w:r>
    </w:p>
    <w:p w:rsidR="00FC40E1" w:rsidRDefault="00FC40E1" w:rsidP="00FC40E1">
      <w:pPr>
        <w:jc w:val="center"/>
      </w:pPr>
      <w:r>
        <w:rPr>
          <w:noProof/>
        </w:rPr>
        <w:drawing>
          <wp:anchor distT="0" distB="0" distL="114300" distR="114300" simplePos="0" relativeHeight="251660288" behindDoc="1" locked="0" layoutInCell="1" allowOverlap="1" wp14:anchorId="6C1F7607" wp14:editId="0DFFCFED">
            <wp:simplePos x="0" y="0"/>
            <wp:positionH relativeFrom="column">
              <wp:posOffset>0</wp:posOffset>
            </wp:positionH>
            <wp:positionV relativeFrom="paragraph">
              <wp:posOffset>8890</wp:posOffset>
            </wp:positionV>
            <wp:extent cx="1608667" cy="904875"/>
            <wp:effectExtent l="0" t="0" r="0" b="0"/>
            <wp:wrapTight wrapText="bothSides">
              <wp:wrapPolygon edited="0">
                <wp:start x="0" y="0"/>
                <wp:lineTo x="0" y="20918"/>
                <wp:lineTo x="21233" y="20918"/>
                <wp:lineTo x="21233" y="0"/>
                <wp:lineTo x="0" y="0"/>
              </wp:wrapPolygon>
            </wp:wrapTight>
            <wp:docPr id="3" name="Imagen 3" descr="Imagen de noti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de notic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8667"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4"/>
          <w:szCs w:val="24"/>
        </w:rPr>
        <w:t>CADUCIDAD DE LISTAS DE ESPERA DEL REGISTRO PESQUERO ARTESANAL</w:t>
      </w:r>
    </w:p>
    <w:p w:rsidR="000E328A" w:rsidRPr="002512C6" w:rsidRDefault="00FC40E1" w:rsidP="00B50363">
      <w:pPr>
        <w:jc w:val="both"/>
        <w:rPr>
          <w:sz w:val="20"/>
          <w:szCs w:val="20"/>
        </w:rPr>
      </w:pPr>
      <w:r>
        <w:rPr>
          <w:sz w:val="24"/>
          <w:szCs w:val="24"/>
        </w:rPr>
        <w:t xml:space="preserve"> Asimismo, SERNAPESCA recuerda que se han caducado las inscripciones en LISTA DE ESPERA del Registro Pesquero Artesanal (RPA) realizadas entre el 10 de febrero de 2014 y el 09 de febrero de 2015.  Los pescadores y pescadores cuya inscripción en las LISTAS DE ESPERA haya caducado, deben volver a inscribirse en cualquiera de las oficinas de SERNAPESCA en </w:t>
      </w:r>
      <w:r>
        <w:rPr>
          <w:sz w:val="24"/>
          <w:szCs w:val="24"/>
        </w:rPr>
        <w:lastRenderedPageBreak/>
        <w:t>la región donde se encuentra habilitado, para así poder participar en los siguientes procesos de Reemplazo de Vacantes que se abran en el futuro.</w:t>
      </w:r>
    </w:p>
    <w:sectPr w:rsidR="000E328A" w:rsidRPr="002512C6" w:rsidSect="003070D8">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B08" w:rsidRDefault="007F3B08" w:rsidP="00775863">
      <w:r>
        <w:separator/>
      </w:r>
    </w:p>
  </w:endnote>
  <w:endnote w:type="continuationSeparator" w:id="0">
    <w:p w:rsidR="007F3B08" w:rsidRDefault="007F3B08" w:rsidP="00775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B08" w:rsidRDefault="007F3B08" w:rsidP="00775863">
      <w:r>
        <w:separator/>
      </w:r>
    </w:p>
  </w:footnote>
  <w:footnote w:type="continuationSeparator" w:id="0">
    <w:p w:rsidR="007F3B08" w:rsidRDefault="007F3B08" w:rsidP="007758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863" w:rsidRPr="00775863" w:rsidRDefault="00775863" w:rsidP="00775863">
    <w:pPr>
      <w:jc w:val="right"/>
      <w:rPr>
        <w:b/>
        <w:bCs/>
        <w:color w:val="000000"/>
        <w:sz w:val="36"/>
        <w:szCs w:val="36"/>
      </w:rPr>
    </w:pPr>
    <w:r>
      <w:rPr>
        <w:rFonts w:ascii="Century Gothic" w:hAnsi="Century Gothic" w:cs="Century Gothic"/>
        <w:noProof/>
      </w:rPr>
      <w:drawing>
        <wp:anchor distT="0" distB="0" distL="114300" distR="114300" simplePos="0" relativeHeight="251658240" behindDoc="0" locked="0" layoutInCell="1" allowOverlap="1">
          <wp:simplePos x="0" y="0"/>
          <wp:positionH relativeFrom="column">
            <wp:posOffset>-99060</wp:posOffset>
          </wp:positionH>
          <wp:positionV relativeFrom="paragraph">
            <wp:posOffset>-163830</wp:posOffset>
          </wp:positionV>
          <wp:extent cx="942975" cy="942975"/>
          <wp:effectExtent l="0" t="0" r="952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775863">
      <w:rPr>
        <w:b/>
        <w:bCs/>
        <w:color w:val="000000"/>
        <w:sz w:val="24"/>
        <w:szCs w:val="24"/>
      </w:rPr>
      <w:t xml:space="preserve"> </w:t>
    </w:r>
    <w:r w:rsidRPr="00775863">
      <w:rPr>
        <w:b/>
        <w:bCs/>
        <w:color w:val="000000"/>
        <w:sz w:val="36"/>
        <w:szCs w:val="36"/>
      </w:rPr>
      <w:t xml:space="preserve">ATENCIÓN PESCADORES/AS ARTESANALES, </w:t>
    </w:r>
  </w:p>
  <w:p w:rsidR="00775863" w:rsidRDefault="00775863" w:rsidP="00775863">
    <w:pPr>
      <w:jc w:val="center"/>
      <w:rPr>
        <w:b/>
        <w:noProof/>
      </w:rPr>
    </w:pPr>
    <w:r>
      <w:rPr>
        <w:b/>
        <w:noProof/>
      </w:rPr>
      <w:t>Estimado Pescador /a:</w:t>
    </w:r>
  </w:p>
  <w:p w:rsidR="00775863" w:rsidRDefault="0077586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74AA5"/>
    <w:multiLevelType w:val="hybridMultilevel"/>
    <w:tmpl w:val="B37644F4"/>
    <w:lvl w:ilvl="0" w:tplc="340A000D">
      <w:start w:val="1"/>
      <w:numFmt w:val="bullet"/>
      <w:lvlText w:val=""/>
      <w:lvlJc w:val="left"/>
      <w:pPr>
        <w:ind w:left="720" w:hanging="360"/>
      </w:pPr>
      <w:rPr>
        <w:rFonts w:ascii="Wingdings" w:hAnsi="Wingding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F361D81"/>
    <w:multiLevelType w:val="hybridMultilevel"/>
    <w:tmpl w:val="47CCB7E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37E409E"/>
    <w:multiLevelType w:val="hybridMultilevel"/>
    <w:tmpl w:val="1166E138"/>
    <w:lvl w:ilvl="0" w:tplc="340A0017">
      <w:start w:val="1"/>
      <w:numFmt w:val="lowerLetter"/>
      <w:lvlText w:val="%1)"/>
      <w:lvlJc w:val="left"/>
      <w:pPr>
        <w:ind w:left="1430" w:hanging="360"/>
      </w:pPr>
      <w:rPr>
        <w:rFonts w:hint="default"/>
      </w:rPr>
    </w:lvl>
    <w:lvl w:ilvl="1" w:tplc="340A0019" w:tentative="1">
      <w:start w:val="1"/>
      <w:numFmt w:val="lowerLetter"/>
      <w:lvlText w:val="%2."/>
      <w:lvlJc w:val="left"/>
      <w:pPr>
        <w:ind w:left="2150" w:hanging="360"/>
      </w:pPr>
    </w:lvl>
    <w:lvl w:ilvl="2" w:tplc="340A001B" w:tentative="1">
      <w:start w:val="1"/>
      <w:numFmt w:val="lowerRoman"/>
      <w:lvlText w:val="%3."/>
      <w:lvlJc w:val="right"/>
      <w:pPr>
        <w:ind w:left="2870" w:hanging="180"/>
      </w:pPr>
    </w:lvl>
    <w:lvl w:ilvl="3" w:tplc="340A000F" w:tentative="1">
      <w:start w:val="1"/>
      <w:numFmt w:val="decimal"/>
      <w:lvlText w:val="%4."/>
      <w:lvlJc w:val="left"/>
      <w:pPr>
        <w:ind w:left="3590" w:hanging="360"/>
      </w:pPr>
    </w:lvl>
    <w:lvl w:ilvl="4" w:tplc="340A0019" w:tentative="1">
      <w:start w:val="1"/>
      <w:numFmt w:val="lowerLetter"/>
      <w:lvlText w:val="%5."/>
      <w:lvlJc w:val="left"/>
      <w:pPr>
        <w:ind w:left="4310" w:hanging="360"/>
      </w:pPr>
    </w:lvl>
    <w:lvl w:ilvl="5" w:tplc="340A001B" w:tentative="1">
      <w:start w:val="1"/>
      <w:numFmt w:val="lowerRoman"/>
      <w:lvlText w:val="%6."/>
      <w:lvlJc w:val="right"/>
      <w:pPr>
        <w:ind w:left="5030" w:hanging="180"/>
      </w:pPr>
    </w:lvl>
    <w:lvl w:ilvl="6" w:tplc="340A000F" w:tentative="1">
      <w:start w:val="1"/>
      <w:numFmt w:val="decimal"/>
      <w:lvlText w:val="%7."/>
      <w:lvlJc w:val="left"/>
      <w:pPr>
        <w:ind w:left="5750" w:hanging="360"/>
      </w:pPr>
    </w:lvl>
    <w:lvl w:ilvl="7" w:tplc="340A0019" w:tentative="1">
      <w:start w:val="1"/>
      <w:numFmt w:val="lowerLetter"/>
      <w:lvlText w:val="%8."/>
      <w:lvlJc w:val="left"/>
      <w:pPr>
        <w:ind w:left="6470" w:hanging="360"/>
      </w:pPr>
    </w:lvl>
    <w:lvl w:ilvl="8" w:tplc="340A001B" w:tentative="1">
      <w:start w:val="1"/>
      <w:numFmt w:val="lowerRoman"/>
      <w:lvlText w:val="%9."/>
      <w:lvlJc w:val="right"/>
      <w:pPr>
        <w:ind w:left="7190" w:hanging="180"/>
      </w:pPr>
    </w:lvl>
  </w:abstractNum>
  <w:abstractNum w:abstractNumId="3" w15:restartNumberingAfterBreak="0">
    <w:nsid w:val="56507C4F"/>
    <w:multiLevelType w:val="hybridMultilevel"/>
    <w:tmpl w:val="4D6ED076"/>
    <w:lvl w:ilvl="0" w:tplc="340A000B">
      <w:start w:val="1"/>
      <w:numFmt w:val="bullet"/>
      <w:lvlText w:val=""/>
      <w:lvlJc w:val="left"/>
      <w:pPr>
        <w:ind w:left="720" w:hanging="360"/>
      </w:pPr>
      <w:rPr>
        <w:rFonts w:ascii="Wingdings" w:hAnsi="Wingding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C4A"/>
    <w:rsid w:val="000054C5"/>
    <w:rsid w:val="000B304A"/>
    <w:rsid w:val="000E328A"/>
    <w:rsid w:val="00143433"/>
    <w:rsid w:val="00147156"/>
    <w:rsid w:val="001B6370"/>
    <w:rsid w:val="00244AE5"/>
    <w:rsid w:val="002512C6"/>
    <w:rsid w:val="002565BF"/>
    <w:rsid w:val="002C2C4A"/>
    <w:rsid w:val="003070D8"/>
    <w:rsid w:val="003B62FA"/>
    <w:rsid w:val="00444AEF"/>
    <w:rsid w:val="005605A4"/>
    <w:rsid w:val="007079AE"/>
    <w:rsid w:val="00775863"/>
    <w:rsid w:val="007A6782"/>
    <w:rsid w:val="007F3B08"/>
    <w:rsid w:val="008524E5"/>
    <w:rsid w:val="008A762E"/>
    <w:rsid w:val="00902546"/>
    <w:rsid w:val="00932ABE"/>
    <w:rsid w:val="00941BED"/>
    <w:rsid w:val="009604B8"/>
    <w:rsid w:val="009E4763"/>
    <w:rsid w:val="00A515BB"/>
    <w:rsid w:val="00B01A64"/>
    <w:rsid w:val="00B471F7"/>
    <w:rsid w:val="00B50363"/>
    <w:rsid w:val="00BA1467"/>
    <w:rsid w:val="00BE6128"/>
    <w:rsid w:val="00C01AFB"/>
    <w:rsid w:val="00D22682"/>
    <w:rsid w:val="00D42ABB"/>
    <w:rsid w:val="00D46B0B"/>
    <w:rsid w:val="00D82295"/>
    <w:rsid w:val="00EB7A7F"/>
    <w:rsid w:val="00F9654C"/>
    <w:rsid w:val="00FC40E1"/>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1CF6A0-F595-4E7B-A02A-82ACB7B0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C4A"/>
    <w:pPr>
      <w:spacing w:after="0" w:line="240" w:lineRule="auto"/>
    </w:pPr>
    <w:rPr>
      <w:rFonts w:ascii="Calibri" w:hAnsi="Calibri" w:cs="Times New Roman"/>
      <w:lang w:eastAsia="es-CL"/>
    </w:rPr>
  </w:style>
  <w:style w:type="paragraph" w:styleId="Ttulo1">
    <w:name w:val="heading 1"/>
    <w:basedOn w:val="Normal"/>
    <w:next w:val="Normal"/>
    <w:link w:val="Ttulo1Car"/>
    <w:uiPriority w:val="9"/>
    <w:qFormat/>
    <w:rsid w:val="005605A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C2C4A"/>
    <w:rPr>
      <w:color w:val="0000FF"/>
      <w:u w:val="single"/>
    </w:rPr>
  </w:style>
  <w:style w:type="paragraph" w:styleId="Textoindependiente">
    <w:name w:val="Body Text"/>
    <w:basedOn w:val="Normal"/>
    <w:link w:val="TextoindependienteCar"/>
    <w:semiHidden/>
    <w:rsid w:val="007A6782"/>
    <w:pPr>
      <w:tabs>
        <w:tab w:val="left" w:pos="567"/>
      </w:tabs>
      <w:jc w:val="both"/>
    </w:pPr>
    <w:rPr>
      <w:rFonts w:ascii="Arial" w:eastAsia="Times New Roman" w:hAnsi="Arial"/>
      <w:sz w:val="20"/>
      <w:szCs w:val="20"/>
      <w:lang w:val="es-ES_tradnl" w:eastAsia="en-US"/>
    </w:rPr>
  </w:style>
  <w:style w:type="character" w:customStyle="1" w:styleId="TextoindependienteCar">
    <w:name w:val="Texto independiente Car"/>
    <w:basedOn w:val="Fuentedeprrafopredeter"/>
    <w:link w:val="Textoindependiente"/>
    <w:semiHidden/>
    <w:rsid w:val="007A6782"/>
    <w:rPr>
      <w:rFonts w:ascii="Arial" w:eastAsia="Times New Roman" w:hAnsi="Arial" w:cs="Times New Roman"/>
      <w:sz w:val="20"/>
      <w:szCs w:val="20"/>
      <w:lang w:val="es-ES_tradnl"/>
    </w:rPr>
  </w:style>
  <w:style w:type="paragraph" w:styleId="Sangra2detindependiente">
    <w:name w:val="Body Text Indent 2"/>
    <w:basedOn w:val="Normal"/>
    <w:link w:val="Sangra2detindependienteCar"/>
    <w:uiPriority w:val="99"/>
    <w:semiHidden/>
    <w:unhideWhenUsed/>
    <w:rsid w:val="00A515B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515BB"/>
    <w:rPr>
      <w:rFonts w:ascii="Calibri" w:hAnsi="Calibri" w:cs="Times New Roman"/>
      <w:lang w:eastAsia="es-CL"/>
    </w:rPr>
  </w:style>
  <w:style w:type="paragraph" w:styleId="Sangra3detindependiente">
    <w:name w:val="Body Text Indent 3"/>
    <w:basedOn w:val="Normal"/>
    <w:link w:val="Sangra3detindependienteCar"/>
    <w:uiPriority w:val="99"/>
    <w:semiHidden/>
    <w:unhideWhenUsed/>
    <w:rsid w:val="00A515B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A515BB"/>
    <w:rPr>
      <w:rFonts w:ascii="Calibri" w:hAnsi="Calibri" w:cs="Times New Roman"/>
      <w:sz w:val="16"/>
      <w:szCs w:val="16"/>
      <w:lang w:eastAsia="es-CL"/>
    </w:rPr>
  </w:style>
  <w:style w:type="character" w:customStyle="1" w:styleId="Ttulo1Car">
    <w:name w:val="Título 1 Car"/>
    <w:basedOn w:val="Fuentedeprrafopredeter"/>
    <w:link w:val="Ttulo1"/>
    <w:uiPriority w:val="9"/>
    <w:rsid w:val="005605A4"/>
    <w:rPr>
      <w:rFonts w:asciiTheme="majorHAnsi" w:eastAsiaTheme="majorEastAsia" w:hAnsiTheme="majorHAnsi" w:cstheme="majorBidi"/>
      <w:color w:val="2E74B5" w:themeColor="accent1" w:themeShade="BF"/>
      <w:sz w:val="32"/>
      <w:szCs w:val="32"/>
      <w:lang w:eastAsia="es-CL"/>
    </w:rPr>
  </w:style>
  <w:style w:type="paragraph" w:styleId="Prrafodelista">
    <w:name w:val="List Paragraph"/>
    <w:basedOn w:val="Normal"/>
    <w:uiPriority w:val="34"/>
    <w:qFormat/>
    <w:rsid w:val="000B304A"/>
    <w:pPr>
      <w:ind w:left="720"/>
      <w:contextualSpacing/>
    </w:pPr>
  </w:style>
  <w:style w:type="paragraph" w:styleId="Textodeglobo">
    <w:name w:val="Balloon Text"/>
    <w:basedOn w:val="Normal"/>
    <w:link w:val="TextodegloboCar"/>
    <w:uiPriority w:val="99"/>
    <w:semiHidden/>
    <w:unhideWhenUsed/>
    <w:rsid w:val="00D22682"/>
    <w:rPr>
      <w:rFonts w:ascii="Tahoma" w:hAnsi="Tahoma" w:cs="Tahoma"/>
      <w:sz w:val="16"/>
      <w:szCs w:val="16"/>
    </w:rPr>
  </w:style>
  <w:style w:type="character" w:customStyle="1" w:styleId="TextodegloboCar">
    <w:name w:val="Texto de globo Car"/>
    <w:basedOn w:val="Fuentedeprrafopredeter"/>
    <w:link w:val="Textodeglobo"/>
    <w:uiPriority w:val="99"/>
    <w:semiHidden/>
    <w:rsid w:val="00D22682"/>
    <w:rPr>
      <w:rFonts w:ascii="Tahoma" w:hAnsi="Tahoma" w:cs="Tahoma"/>
      <w:sz w:val="16"/>
      <w:szCs w:val="16"/>
      <w:lang w:eastAsia="es-CL"/>
    </w:rPr>
  </w:style>
  <w:style w:type="table" w:styleId="Tablaconcuadrcula">
    <w:name w:val="Table Grid"/>
    <w:basedOn w:val="Tablanormal"/>
    <w:uiPriority w:val="39"/>
    <w:rsid w:val="00251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75863"/>
    <w:pPr>
      <w:tabs>
        <w:tab w:val="center" w:pos="4419"/>
        <w:tab w:val="right" w:pos="8838"/>
      </w:tabs>
    </w:pPr>
  </w:style>
  <w:style w:type="character" w:customStyle="1" w:styleId="EncabezadoCar">
    <w:name w:val="Encabezado Car"/>
    <w:basedOn w:val="Fuentedeprrafopredeter"/>
    <w:link w:val="Encabezado"/>
    <w:uiPriority w:val="99"/>
    <w:rsid w:val="00775863"/>
    <w:rPr>
      <w:rFonts w:ascii="Calibri" w:hAnsi="Calibri" w:cs="Times New Roman"/>
      <w:lang w:eastAsia="es-CL"/>
    </w:rPr>
  </w:style>
  <w:style w:type="paragraph" w:styleId="Piedepgina">
    <w:name w:val="footer"/>
    <w:basedOn w:val="Normal"/>
    <w:link w:val="PiedepginaCar"/>
    <w:uiPriority w:val="99"/>
    <w:unhideWhenUsed/>
    <w:rsid w:val="00775863"/>
    <w:pPr>
      <w:tabs>
        <w:tab w:val="center" w:pos="4419"/>
        <w:tab w:val="right" w:pos="8838"/>
      </w:tabs>
    </w:pPr>
  </w:style>
  <w:style w:type="character" w:customStyle="1" w:styleId="PiedepginaCar">
    <w:name w:val="Pie de página Car"/>
    <w:basedOn w:val="Fuentedeprrafopredeter"/>
    <w:link w:val="Piedepgina"/>
    <w:uiPriority w:val="99"/>
    <w:rsid w:val="00775863"/>
    <w:rPr>
      <w:rFonts w:ascii="Calibri" w:hAnsi="Calibri" w:cs="Times New Roman"/>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452073">
      <w:bodyDiv w:val="1"/>
      <w:marLeft w:val="0"/>
      <w:marRight w:val="0"/>
      <w:marTop w:val="0"/>
      <w:marBottom w:val="0"/>
      <w:divBdr>
        <w:top w:val="none" w:sz="0" w:space="0" w:color="auto"/>
        <w:left w:val="none" w:sz="0" w:space="0" w:color="auto"/>
        <w:bottom w:val="none" w:sz="0" w:space="0" w:color="auto"/>
        <w:right w:val="none" w:sz="0" w:space="0" w:color="auto"/>
      </w:divBdr>
    </w:div>
    <w:div w:id="1235354237">
      <w:bodyDiv w:val="1"/>
      <w:marLeft w:val="0"/>
      <w:marRight w:val="0"/>
      <w:marTop w:val="0"/>
      <w:marBottom w:val="0"/>
      <w:divBdr>
        <w:top w:val="none" w:sz="0" w:space="0" w:color="auto"/>
        <w:left w:val="none" w:sz="0" w:space="0" w:color="auto"/>
        <w:bottom w:val="none" w:sz="0" w:space="0" w:color="auto"/>
        <w:right w:val="none" w:sz="0" w:space="0" w:color="auto"/>
      </w:divBdr>
    </w:div>
    <w:div w:id="1382562101">
      <w:bodyDiv w:val="1"/>
      <w:marLeft w:val="0"/>
      <w:marRight w:val="0"/>
      <w:marTop w:val="0"/>
      <w:marBottom w:val="0"/>
      <w:divBdr>
        <w:top w:val="none" w:sz="0" w:space="0" w:color="auto"/>
        <w:left w:val="none" w:sz="0" w:space="0" w:color="auto"/>
        <w:bottom w:val="none" w:sz="0" w:space="0" w:color="auto"/>
        <w:right w:val="none" w:sz="0" w:space="0" w:color="auto"/>
      </w:divBdr>
    </w:div>
    <w:div w:id="17814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2.sernapesca.cl/index.php?option=com_remository&amp;Itemid=246&amp;func=select&amp;id=137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ernapesca.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1991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CHAVEZ, HERMAN</dc:creator>
  <cp:lastModifiedBy>VALLEJOS CARVAJAL, YESENIA ARACELI</cp:lastModifiedBy>
  <cp:revision>2</cp:revision>
  <cp:lastPrinted>2018-05-14T20:00:00Z</cp:lastPrinted>
  <dcterms:created xsi:type="dcterms:W3CDTF">2018-05-15T17:45:00Z</dcterms:created>
  <dcterms:modified xsi:type="dcterms:W3CDTF">2018-05-15T17:45:00Z</dcterms:modified>
</cp:coreProperties>
</file>